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19"/>
        <w:jc w:val="right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52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к протоколу заседания Правления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Региональной службы по тарифам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Ростовской области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br/>
        <w:t xml:space="preserve">от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.20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  №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0"/>
          <w:szCs w:val="20"/>
          <w:lang w:eastAsia="ru-RU"/>
        </w:rPr>
        <w:t xml:space="preserve">71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0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sz w:val="20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9125" cy="619125"/>
                <wp:effectExtent l="0" t="0" r="9525" b="9525"/>
                <wp:docPr id="1" name="Рисунок 1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1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91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8pt;height:48.8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РЕГИОНАЛЬНАЯ СЛУЖБА ПО ТАРИФАМ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РОСТОВСКОЙ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 w:eastAsia="Times New Roman"/>
          <w:b/>
          <w:sz w:val="26"/>
          <w:szCs w:val="26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</w:pPr>
      <w:r>
        <w:rPr>
          <w:rFonts w:ascii="Times New Roman" w:hAnsi="Times New Roman" w:cs="Times New Roman" w:eastAsia="Times New Roman"/>
          <w:b/>
          <w:sz w:val="32"/>
          <w:szCs w:val="32"/>
          <w:lang w:eastAsia="ru-RU"/>
        </w:rPr>
        <w:t xml:space="preserve">ПОСТАНОВЛЕНИЕ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sz w:val="16"/>
          <w:szCs w:val="16"/>
          <w:lang w:eastAsia="ru-RU"/>
        </w:rPr>
      </w:r>
      <w:r/>
    </w:p>
    <w:p>
      <w:pPr>
        <w:ind w:right="665" w:firstLine="540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20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12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.20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21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  <w:t xml:space="preserve">г. Ростов-на-Дону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ab/>
        <w:t xml:space="preserve">№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71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/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52</w:t>
      </w:r>
      <w:r/>
    </w:p>
    <w:p>
      <w:pPr>
        <w:ind w:right="665" w:firstLine="540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ind w:right="665" w:firstLine="540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Об установлении тарифов на горячую воду, поставляемую с использованием закрытой системы горячего 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водоснабжения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 Ростовской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таможни </w:t>
      </w: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(ИНН 6102020818)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Аксайский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район, на 20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22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 год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Cs/>
          <w:color w:val="000000"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bCs/>
          <w:color w:val="000000"/>
          <w:sz w:val="16"/>
          <w:szCs w:val="16"/>
          <w:lang w:eastAsia="ru-RU"/>
        </w:rPr>
      </w:r>
      <w:r/>
    </w:p>
    <w:p>
      <w:pPr>
        <w:ind w:left="-540" w:firstLine="540"/>
        <w:jc w:val="both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В соответствии с Федеральным законом от 07.12.2011 № 416-ФЗ                                 «О водоснабжении и водоотведении», постан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овлением Правительства Российской Федерации от 13.05.2013 № 406 «О государственном регулировании тарифов в сфере водоснабжения и водоотведения», Методическими указаниями по расчету регулируемых тарифов в сфере водоснабжения и водоотведения, утвержденными п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риказом Федеральной службы по тарифам от 27.12.2013 № 1746-э, Положением о Региональной службе по тарифам Ростовской области, утвержденным постановлением Правительства Ростовской области от 13.01.2012 № 20, Региональная служба по тарифам Ростовской области</w:t>
      </w:r>
      <w:r/>
    </w:p>
    <w:p>
      <w:pPr>
        <w:ind w:left="-540"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ind w:left="-540"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b/>
          <w:sz w:val="16"/>
          <w:szCs w:val="16"/>
          <w:lang w:eastAsia="ru-RU"/>
        </w:rPr>
      </w:r>
      <w:r/>
    </w:p>
    <w:p>
      <w:pPr>
        <w:ind w:left="-540"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постановляет:</w:t>
      </w:r>
      <w:r/>
    </w:p>
    <w:p>
      <w:pPr>
        <w:ind w:left="-540" w:firstLine="540"/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r>
      <w:r/>
    </w:p>
    <w:p>
      <w:pPr>
        <w:ind w:left="-540" w:firstLine="540"/>
        <w:jc w:val="both"/>
        <w:spacing w:lineRule="auto" w:line="240" w:after="0"/>
        <w:tabs>
          <w:tab w:val="left" w:pos="-567" w:leader="none"/>
          <w:tab w:val="left" w:pos="567" w:leader="none"/>
        </w:tabs>
        <w:rPr>
          <w:rFonts w:ascii="Times New Roman" w:hAnsi="Times New Roman" w:cs="Times New Roman" w:eastAsia="Times New Roman"/>
          <w:bCs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1. Установить тарифы на горячую воду, поставляемую с использованием закрытой системы горячего водоснабжения Ростовской таможни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(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ИНН 6102020818),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Аксайский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район, согласно приложению к постановлению.</w:t>
      </w:r>
      <w:r/>
    </w:p>
    <w:p>
      <w:pPr>
        <w:ind w:left="-540" w:firstLine="540"/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2. Тарифы, установленные в пункте 1 постановления, действуют с 1 января 20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года по 31 декабря 20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года.</w:t>
      </w:r>
      <w:r/>
    </w:p>
    <w:p>
      <w:pPr>
        <w:ind w:left="-540" w:firstLine="540"/>
        <w:jc w:val="both"/>
        <w:spacing w:lineRule="auto" w:line="240" w:after="0"/>
        <w:tabs>
          <w:tab w:val="left" w:pos="-567" w:leader="none"/>
          <w:tab w:val="left" w:pos="567" w:leader="none"/>
        </w:tabs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3. Постановление подлежит официальному опубликованию, размещению на официальном сайте Региональной службы по тарифам Ростовской области http://rst.donland.ru и вступает в силу в установленном порядке.</w:t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sz w:val="16"/>
          <w:szCs w:val="16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sz w:val="16"/>
          <w:szCs w:val="16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sz w:val="16"/>
          <w:szCs w:val="16"/>
          <w:lang w:eastAsia="ru-RU"/>
        </w:rPr>
      </w:pPr>
      <w:r>
        <w:rPr>
          <w:rFonts w:ascii="Times New Roman" w:hAnsi="Times New Roman" w:cs="Times New Roman" w:eastAsia="Times New Roman"/>
          <w:sz w:val="16"/>
          <w:szCs w:val="16"/>
          <w:lang w:eastAsia="ru-RU"/>
        </w:rPr>
      </w:r>
      <w:r/>
    </w:p>
    <w:p>
      <w:pPr>
        <w:ind w:left="-567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Руководитель </w:t>
      </w:r>
      <w:r/>
    </w:p>
    <w:p>
      <w:pPr>
        <w:ind w:left="-567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Региональной службы по тарифам </w:t>
      </w:r>
      <w:r/>
    </w:p>
    <w:p>
      <w:pPr>
        <w:ind w:left="-567"/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  <w:t xml:space="preserve">Ростовской области                                                                                 А.В. Лукьянов</w:t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r>
      <w:r/>
    </w:p>
    <w:p>
      <w:pPr>
        <w:jc w:val="both"/>
        <w:spacing w:lineRule="auto" w:line="240" w:after="0"/>
        <w:shd w:val="clear" w:fill="FFFFFF" w:color="auto"/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p>
      <w:r/>
      <w:r/>
    </w:p>
    <w:sectPr>
      <w:footnotePr/>
      <w:endnotePr/>
      <w:type w:val="nextPage"/>
      <w:pgSz w:w="11906" w:h="16838" w:orient="portrait"/>
      <w:pgMar w:top="284" w:right="707" w:bottom="426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59" w:after="16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59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59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59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59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59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59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59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59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59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59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59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59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59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59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0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0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0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60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0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59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59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character" w:styleId="599" w:default="1">
    <w:name w:val="Default Paragraph Font"/>
    <w:uiPriority w:val="1"/>
    <w:semiHidden/>
    <w:unhideWhenUsed/>
  </w:style>
  <w:style w:type="table" w:styleId="60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1" w:default="1">
    <w:name w:val="No List"/>
    <w:uiPriority w:val="99"/>
    <w:semiHidden/>
    <w:unhideWhenUsed/>
  </w:style>
  <w:style w:type="paragraph" w:styleId="602">
    <w:name w:val="Balloon Text"/>
    <w:basedOn w:val="598"/>
    <w:link w:val="603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 w:after="0"/>
    </w:pPr>
  </w:style>
  <w:style w:type="character" w:styleId="603" w:customStyle="1">
    <w:name w:val="Текст выноски Знак"/>
    <w:basedOn w:val="599"/>
    <w:link w:val="60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Зорина</dc:creator>
  <cp:keywords/>
  <dc:description/>
  <cp:lastModifiedBy>Ольга Федулова</cp:lastModifiedBy>
  <cp:revision>3</cp:revision>
  <dcterms:created xsi:type="dcterms:W3CDTF">2021-12-21T11:43:00Z</dcterms:created>
  <dcterms:modified xsi:type="dcterms:W3CDTF">2021-12-22T10:50:44Z</dcterms:modified>
</cp:coreProperties>
</file>